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2273" w:rsidRPr="001A3923" w:rsidRDefault="00A22273" w:rsidP="00781082">
      <w:pPr>
        <w:tabs>
          <w:tab w:val="left" w:pos="1843"/>
        </w:tabs>
        <w:spacing w:after="0" w:line="276" w:lineRule="auto"/>
        <w:jc w:val="both"/>
        <w:rPr>
          <w:rFonts w:ascii="Palatino Linotype" w:hAnsi="Palatino Linotype" w:cs="Tahoma"/>
          <w:b/>
        </w:rPr>
      </w:pPr>
    </w:p>
    <w:p w:rsidR="009E0861" w:rsidRPr="001A3923" w:rsidRDefault="009E0861" w:rsidP="0089469D">
      <w:pPr>
        <w:tabs>
          <w:tab w:val="left" w:pos="1843"/>
        </w:tabs>
        <w:spacing w:after="0" w:line="276" w:lineRule="auto"/>
        <w:jc w:val="both"/>
        <w:rPr>
          <w:rFonts w:ascii="Palatino Linotype" w:hAnsi="Palatino Linotype" w:cs="Tahoma"/>
          <w:b/>
        </w:rPr>
      </w:pPr>
      <w:r w:rsidRPr="001A3923">
        <w:rPr>
          <w:rFonts w:ascii="Palatino Linotype" w:hAnsi="Palatino Linotype" w:cs="Tahoma"/>
          <w:b/>
        </w:rPr>
        <w:t xml:space="preserve">VOTO PARTICULAR QUE FORMULA EL COMISIONADO LUIS GUSTAVO PARRA NORIEGA, EN RELACIÓN CON LA RESOLUCIÓN DEL RECURSO DE REVISIÓN </w:t>
      </w:r>
      <w:r w:rsidR="00F31A38" w:rsidRPr="001A3923">
        <w:rPr>
          <w:rFonts w:ascii="Palatino Linotype" w:hAnsi="Palatino Linotype" w:cs="Tahoma"/>
          <w:b/>
        </w:rPr>
        <w:t>03</w:t>
      </w:r>
      <w:r w:rsidR="005B12CF" w:rsidRPr="001A3923">
        <w:rPr>
          <w:rFonts w:ascii="Palatino Linotype" w:hAnsi="Palatino Linotype" w:cs="Tahoma"/>
          <w:b/>
        </w:rPr>
        <w:t>062</w:t>
      </w:r>
      <w:r w:rsidR="00DE4452" w:rsidRPr="001A3923">
        <w:rPr>
          <w:rFonts w:ascii="Palatino Linotype" w:hAnsi="Palatino Linotype" w:cs="Tahoma"/>
          <w:b/>
        </w:rPr>
        <w:t>/INFOEM/IP/RR/2018</w:t>
      </w:r>
      <w:r w:rsidR="00E004A3" w:rsidRPr="001A3923">
        <w:rPr>
          <w:rFonts w:ascii="Palatino Linotype" w:hAnsi="Palatino Linotype" w:cs="Tahoma"/>
          <w:b/>
        </w:rPr>
        <w:t xml:space="preserve"> Y ACUMULADOS</w:t>
      </w:r>
      <w:r w:rsidRPr="001A3923">
        <w:rPr>
          <w:rFonts w:ascii="Palatino Linotype" w:hAnsi="Palatino Linotype" w:cs="Tahoma"/>
          <w:b/>
          <w:caps/>
        </w:rPr>
        <w:t>,</w:t>
      </w:r>
      <w:r w:rsidRPr="001A3923">
        <w:rPr>
          <w:rFonts w:ascii="Palatino Linotype" w:hAnsi="Palatino Linotype" w:cs="Tahoma"/>
          <w:b/>
        </w:rPr>
        <w:t xml:space="preserve"> PROMOVIDO EN </w:t>
      </w:r>
      <w:r w:rsidR="00792848" w:rsidRPr="001A3923">
        <w:rPr>
          <w:rFonts w:ascii="Palatino Linotype" w:hAnsi="Palatino Linotype" w:cs="Tahoma"/>
          <w:b/>
        </w:rPr>
        <w:t xml:space="preserve">CONTRA DEL </w:t>
      </w:r>
      <w:r w:rsidR="005B12CF" w:rsidRPr="001A3923">
        <w:rPr>
          <w:rFonts w:ascii="Palatino Linotype" w:hAnsi="Palatino Linotype" w:cs="Tahoma"/>
          <w:b/>
        </w:rPr>
        <w:t>PODER LEGISLATIVO</w:t>
      </w:r>
      <w:r w:rsidR="005A4884" w:rsidRPr="001A3923">
        <w:rPr>
          <w:rFonts w:ascii="Palatino Linotype" w:hAnsi="Palatino Linotype" w:cs="Tahoma"/>
          <w:b/>
        </w:rPr>
        <w:t>.</w:t>
      </w:r>
    </w:p>
    <w:p w:rsidR="0089469D" w:rsidRPr="001A3923" w:rsidRDefault="0089469D" w:rsidP="0089469D">
      <w:pPr>
        <w:tabs>
          <w:tab w:val="left" w:pos="1843"/>
        </w:tabs>
        <w:spacing w:after="0" w:line="276" w:lineRule="auto"/>
        <w:jc w:val="both"/>
        <w:rPr>
          <w:rFonts w:ascii="Palatino Linotype" w:hAnsi="Palatino Linotype" w:cs="Tahoma"/>
        </w:rPr>
      </w:pPr>
    </w:p>
    <w:p w:rsidR="009E0861" w:rsidRPr="001A3923" w:rsidRDefault="009E0861" w:rsidP="00A462CB">
      <w:pPr>
        <w:spacing w:after="0" w:line="276" w:lineRule="auto"/>
        <w:jc w:val="both"/>
        <w:rPr>
          <w:rFonts w:ascii="Palatino Linotype" w:hAnsi="Palatino Linotype" w:cs="Tahoma"/>
        </w:rPr>
      </w:pPr>
      <w:r w:rsidRPr="001A3923">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31, segundo párrafo y 44 último párrafo, de los Lineamientos de las Sesiones del Pleno del Instituto de Transparencia, Acceso a la Información Pública y Protección de Datos Personales del Estado de México y Municipios, emito el presente </w:t>
      </w:r>
      <w:r w:rsidRPr="001A3923">
        <w:rPr>
          <w:rFonts w:ascii="Palatino Linotype" w:hAnsi="Palatino Linotype" w:cs="Tahoma"/>
          <w:b/>
        </w:rPr>
        <w:t>Voto Particular</w:t>
      </w:r>
      <w:r w:rsidRPr="001A3923">
        <w:rPr>
          <w:rFonts w:ascii="Palatino Linotype" w:hAnsi="Palatino Linotype" w:cs="Tahoma"/>
        </w:rPr>
        <w:t xml:space="preserve"> por no compartir en su totalidad las consideraciones que sustentan la Resolución del Recurso de Revisión </w:t>
      </w:r>
      <w:r w:rsidR="00A742D1" w:rsidRPr="001A3923">
        <w:rPr>
          <w:rFonts w:ascii="Palatino Linotype" w:hAnsi="Palatino Linotype" w:cs="Tahoma"/>
          <w:b/>
        </w:rPr>
        <w:t>0</w:t>
      </w:r>
      <w:r w:rsidR="00F31A38" w:rsidRPr="001A3923">
        <w:rPr>
          <w:rFonts w:ascii="Palatino Linotype" w:hAnsi="Palatino Linotype" w:cs="Tahoma"/>
          <w:b/>
        </w:rPr>
        <w:t>3</w:t>
      </w:r>
      <w:r w:rsidR="00E004A3" w:rsidRPr="001A3923">
        <w:rPr>
          <w:rFonts w:ascii="Palatino Linotype" w:hAnsi="Palatino Linotype" w:cs="Tahoma"/>
          <w:b/>
        </w:rPr>
        <w:t>062</w:t>
      </w:r>
      <w:r w:rsidR="00A742D1" w:rsidRPr="001A3923">
        <w:rPr>
          <w:rFonts w:ascii="Palatino Linotype" w:hAnsi="Palatino Linotype" w:cs="Tahoma"/>
          <w:b/>
        </w:rPr>
        <w:t>/INFOEM/IP/RR/</w:t>
      </w:r>
      <w:r w:rsidR="00104333" w:rsidRPr="001A3923">
        <w:rPr>
          <w:rFonts w:ascii="Palatino Linotype" w:hAnsi="Palatino Linotype" w:cs="Tahoma"/>
          <w:b/>
        </w:rPr>
        <w:t>2018</w:t>
      </w:r>
      <w:r w:rsidR="00E004A3" w:rsidRPr="001A3923">
        <w:rPr>
          <w:rFonts w:ascii="Palatino Linotype" w:hAnsi="Palatino Linotype" w:cs="Tahoma"/>
          <w:b/>
        </w:rPr>
        <w:t xml:space="preserve"> Y ACUMULADOS</w:t>
      </w:r>
      <w:r w:rsidR="00104333" w:rsidRPr="001A3923">
        <w:rPr>
          <w:rFonts w:ascii="Palatino Linotype" w:hAnsi="Palatino Linotype" w:cs="Tahoma"/>
        </w:rPr>
        <w:t>.</w:t>
      </w:r>
    </w:p>
    <w:p w:rsidR="009E0861" w:rsidRPr="001A3923" w:rsidRDefault="009E0861" w:rsidP="00A462CB">
      <w:pPr>
        <w:spacing w:after="0" w:line="276" w:lineRule="auto"/>
        <w:jc w:val="both"/>
        <w:rPr>
          <w:rFonts w:ascii="Palatino Linotype" w:hAnsi="Palatino Linotype" w:cs="Tahoma"/>
        </w:rPr>
      </w:pPr>
    </w:p>
    <w:p w:rsidR="00EE3972" w:rsidRPr="001A3923" w:rsidRDefault="007B27AD" w:rsidP="00F31A38">
      <w:pPr>
        <w:spacing w:after="0" w:line="276" w:lineRule="auto"/>
        <w:jc w:val="both"/>
        <w:rPr>
          <w:rFonts w:ascii="Palatino Linotype" w:hAnsi="Palatino Linotype" w:cs="Tahoma"/>
        </w:rPr>
      </w:pPr>
      <w:r w:rsidRPr="001A3923">
        <w:rPr>
          <w:rFonts w:ascii="Palatino Linotype" w:hAnsi="Palatino Linotype" w:cs="Tahoma"/>
        </w:rPr>
        <w:t xml:space="preserve">Como se desprende de la resolución en comento, </w:t>
      </w:r>
      <w:r w:rsidR="00A907C3">
        <w:rPr>
          <w:rFonts w:ascii="Palatino Linotype" w:hAnsi="Palatino Linotype" w:cs="Tahoma"/>
        </w:rPr>
        <w:t>la Ponencia Resolutoria determina respecto de la información que se entregó en versión pública instruir la entrega del acuerdo de clasificación del Comité de Transparencia del Sujeto Obligado; sin embargo dentro de la Resolución no se hizo el análisis de las versiones públicas, ni se verificó si en efecto la información actualiza el supuesto de reserva señalado por el Sujeto Obligado; artículo 140, fracciones VI y VIII de la Ley de Transparencia y Acceso a la Información Pública del Estado de México y Municipios.</w:t>
      </w:r>
    </w:p>
    <w:p w:rsidR="00EE3972" w:rsidRPr="001A3923" w:rsidRDefault="00EE3972" w:rsidP="005A4884">
      <w:pPr>
        <w:spacing w:after="0" w:line="276" w:lineRule="auto"/>
        <w:jc w:val="both"/>
        <w:rPr>
          <w:rFonts w:ascii="Palatino Linotype" w:hAnsi="Palatino Linotype" w:cs="Tahoma"/>
        </w:rPr>
      </w:pPr>
    </w:p>
    <w:p w:rsidR="003C374F" w:rsidRPr="001A3923" w:rsidRDefault="00EE3972" w:rsidP="00A462CB">
      <w:pPr>
        <w:spacing w:after="0" w:line="276" w:lineRule="auto"/>
        <w:jc w:val="both"/>
        <w:rPr>
          <w:rFonts w:ascii="Palatino Linotype" w:hAnsi="Palatino Linotype" w:cs="Tahoma"/>
        </w:rPr>
      </w:pPr>
      <w:r w:rsidRPr="001A3923">
        <w:rPr>
          <w:rFonts w:ascii="Palatino Linotype" w:hAnsi="Palatino Linotype" w:cs="Tahoma"/>
        </w:rPr>
        <w:t>Respecto a</w:t>
      </w:r>
      <w:r w:rsidR="00F31A38" w:rsidRPr="001A3923">
        <w:rPr>
          <w:rFonts w:ascii="Palatino Linotype" w:hAnsi="Palatino Linotype" w:cs="Tahoma"/>
        </w:rPr>
        <w:t xml:space="preserve"> este punto</w:t>
      </w:r>
      <w:r w:rsidRPr="001A3923">
        <w:rPr>
          <w:rFonts w:ascii="Palatino Linotype" w:hAnsi="Palatino Linotype" w:cs="Tahoma"/>
        </w:rPr>
        <w:t xml:space="preserve">, conviene </w:t>
      </w:r>
      <w:r w:rsidR="00A56DE1" w:rsidRPr="001A3923">
        <w:rPr>
          <w:rFonts w:ascii="Palatino Linotype" w:hAnsi="Palatino Linotype" w:cs="Tahoma"/>
        </w:rPr>
        <w:t>traer a colación</w:t>
      </w:r>
      <w:r w:rsidR="00D11C52" w:rsidRPr="001A3923">
        <w:rPr>
          <w:rFonts w:ascii="Palatino Linotype" w:hAnsi="Palatino Linotype" w:cs="Tahoma"/>
        </w:rPr>
        <w:t xml:space="preserve"> lo resuelto por el Instituto Nacional de Transparencia, Acceso a la Información Pública y Protección de Datos Personales, en el Recurso de Inconformidad número RIA 0118/18</w:t>
      </w:r>
      <w:r w:rsidR="00F030F8" w:rsidRPr="001A3923">
        <w:rPr>
          <w:rFonts w:ascii="Palatino Linotype" w:hAnsi="Palatino Linotype" w:cs="Tahoma"/>
        </w:rPr>
        <w:t xml:space="preserve">, </w:t>
      </w:r>
      <w:r w:rsidR="00A56DE1" w:rsidRPr="001A3923">
        <w:rPr>
          <w:rFonts w:ascii="Palatino Linotype" w:hAnsi="Palatino Linotype" w:cs="Tahoma"/>
        </w:rPr>
        <w:t xml:space="preserve">en el que medularmente </w:t>
      </w:r>
      <w:r w:rsidR="00A63FE9" w:rsidRPr="001A3923">
        <w:rPr>
          <w:rFonts w:ascii="Palatino Linotype" w:hAnsi="Palatino Linotype" w:cs="Tahoma"/>
        </w:rPr>
        <w:t>indica</w:t>
      </w:r>
      <w:r w:rsidR="00A56DE1" w:rsidRPr="001A3923">
        <w:rPr>
          <w:rFonts w:ascii="Palatino Linotype" w:hAnsi="Palatino Linotype" w:cs="Tahoma"/>
        </w:rPr>
        <w:t xml:space="preserve">, que </w:t>
      </w:r>
      <w:r w:rsidR="00F030F8" w:rsidRPr="001A3923">
        <w:rPr>
          <w:rFonts w:ascii="Palatino Linotype" w:hAnsi="Palatino Linotype" w:cs="Tahoma"/>
        </w:rPr>
        <w:t xml:space="preserve">este Órgano Garante </w:t>
      </w:r>
      <w:r w:rsidRPr="001A3923">
        <w:rPr>
          <w:rFonts w:ascii="Palatino Linotype" w:hAnsi="Palatino Linotype" w:cs="Tahoma"/>
        </w:rPr>
        <w:t xml:space="preserve">tiene la obligación, cuando exista información clasificada, </w:t>
      </w:r>
      <w:r w:rsidR="0099308A" w:rsidRPr="001A3923">
        <w:rPr>
          <w:rFonts w:ascii="Palatino Linotype" w:hAnsi="Palatino Linotype" w:cs="Tahoma"/>
        </w:rPr>
        <w:t xml:space="preserve">de allegarse de todos los elementos necesarios para otorgar certeza en sus determinaciones, lo que no es otra cosa que </w:t>
      </w:r>
      <w:r w:rsidR="009E42B2" w:rsidRPr="001A3923">
        <w:rPr>
          <w:rFonts w:ascii="Palatino Linotype" w:hAnsi="Palatino Linotype" w:cs="Tahoma"/>
        </w:rPr>
        <w:t xml:space="preserve">identificar de forma precisa los datos </w:t>
      </w:r>
      <w:r w:rsidR="0099308A" w:rsidRPr="001A3923">
        <w:rPr>
          <w:rFonts w:ascii="Palatino Linotype" w:hAnsi="Palatino Linotype" w:cs="Tahoma"/>
        </w:rPr>
        <w:t xml:space="preserve">que deben ser clasificados y </w:t>
      </w:r>
      <w:r w:rsidRPr="001A3923">
        <w:rPr>
          <w:rFonts w:ascii="Palatino Linotype" w:hAnsi="Palatino Linotype" w:cs="Tahoma"/>
        </w:rPr>
        <w:t>elaborar</w:t>
      </w:r>
      <w:r w:rsidR="0099308A" w:rsidRPr="001A3923">
        <w:rPr>
          <w:rFonts w:ascii="Palatino Linotype" w:hAnsi="Palatino Linotype" w:cs="Tahoma"/>
        </w:rPr>
        <w:t xml:space="preserve"> los</w:t>
      </w:r>
      <w:r w:rsidR="009E42B2" w:rsidRPr="001A3923">
        <w:rPr>
          <w:rFonts w:ascii="Palatino Linotype" w:hAnsi="Palatino Linotype" w:cs="Tahoma"/>
        </w:rPr>
        <w:t xml:space="preserve"> </w:t>
      </w:r>
      <w:r w:rsidR="0099308A" w:rsidRPr="001A3923">
        <w:rPr>
          <w:rFonts w:ascii="Palatino Linotype" w:hAnsi="Palatino Linotype" w:cs="Tahoma"/>
        </w:rPr>
        <w:t xml:space="preserve">argumentos que hacen que la información se sitúe en alguno de los </w:t>
      </w:r>
      <w:r w:rsidR="00A63FE9" w:rsidRPr="001A3923">
        <w:rPr>
          <w:rFonts w:ascii="Palatino Linotype" w:hAnsi="Palatino Linotype" w:cs="Tahoma"/>
        </w:rPr>
        <w:t xml:space="preserve">supuestos de clasificación previstos por la Ley </w:t>
      </w:r>
      <w:r w:rsidR="00F31A38" w:rsidRPr="001A3923">
        <w:rPr>
          <w:rFonts w:ascii="Palatino Linotype" w:hAnsi="Palatino Linotype" w:cs="Tahoma"/>
        </w:rPr>
        <w:t>en la materia</w:t>
      </w:r>
      <w:r w:rsidR="00A63FE9" w:rsidRPr="001A3923">
        <w:rPr>
          <w:rFonts w:ascii="Palatino Linotype" w:hAnsi="Palatino Linotype" w:cs="Tahoma"/>
        </w:rPr>
        <w:t>.</w:t>
      </w:r>
    </w:p>
    <w:p w:rsidR="00533EA5" w:rsidRPr="001A3923" w:rsidRDefault="00533EA5" w:rsidP="00A462CB">
      <w:pPr>
        <w:spacing w:after="0" w:line="276" w:lineRule="auto"/>
        <w:jc w:val="both"/>
        <w:rPr>
          <w:rFonts w:ascii="Palatino Linotype" w:hAnsi="Palatino Linotype" w:cs="Tahoma"/>
        </w:rPr>
      </w:pPr>
    </w:p>
    <w:p w:rsidR="00105F45" w:rsidRDefault="00105F45" w:rsidP="00A462CB">
      <w:pPr>
        <w:spacing w:after="0" w:line="276" w:lineRule="auto"/>
        <w:jc w:val="both"/>
        <w:rPr>
          <w:rFonts w:ascii="Palatino Linotype" w:hAnsi="Palatino Linotype" w:cs="Tahoma"/>
        </w:rPr>
      </w:pPr>
    </w:p>
    <w:p w:rsidR="00105F45" w:rsidRDefault="00105F45" w:rsidP="00A462CB">
      <w:pPr>
        <w:spacing w:after="0" w:line="276" w:lineRule="auto"/>
        <w:jc w:val="both"/>
        <w:rPr>
          <w:rFonts w:ascii="Palatino Linotype" w:hAnsi="Palatino Linotype" w:cs="Tahoma"/>
        </w:rPr>
      </w:pPr>
    </w:p>
    <w:p w:rsidR="00F030F8" w:rsidRPr="001A3923" w:rsidRDefault="00EE3972" w:rsidP="00A462CB">
      <w:pPr>
        <w:spacing w:after="0" w:line="276" w:lineRule="auto"/>
        <w:jc w:val="both"/>
        <w:rPr>
          <w:rFonts w:ascii="Palatino Linotype" w:hAnsi="Palatino Linotype" w:cs="Tahoma"/>
        </w:rPr>
      </w:pPr>
      <w:r w:rsidRPr="001A3923">
        <w:rPr>
          <w:rFonts w:ascii="Palatino Linotype" w:hAnsi="Palatino Linotype" w:cs="Tahoma"/>
        </w:rPr>
        <w:t xml:space="preserve">En ese sentido, este Instituto, a decir de la resolución RIA </w:t>
      </w:r>
      <w:r w:rsidR="009B6C8D" w:rsidRPr="001A3923">
        <w:rPr>
          <w:rFonts w:ascii="Palatino Linotype" w:hAnsi="Palatino Linotype" w:cs="Tahoma"/>
        </w:rPr>
        <w:t xml:space="preserve">0118/18, </w:t>
      </w:r>
      <w:r w:rsidRPr="001A3923">
        <w:rPr>
          <w:rFonts w:ascii="Palatino Linotype" w:hAnsi="Palatino Linotype" w:cs="Tahoma"/>
        </w:rPr>
        <w:t xml:space="preserve">se encuentra </w:t>
      </w:r>
      <w:r w:rsidR="009B6C8D" w:rsidRPr="001A3923">
        <w:rPr>
          <w:rFonts w:ascii="Palatino Linotype" w:hAnsi="Palatino Linotype" w:cs="Tahoma"/>
        </w:rPr>
        <w:t xml:space="preserve">obligado, para el caso de que la información sea reservada, </w:t>
      </w:r>
      <w:r w:rsidRPr="001A3923">
        <w:rPr>
          <w:rFonts w:ascii="Palatino Linotype" w:hAnsi="Palatino Linotype" w:cs="Tahoma"/>
        </w:rPr>
        <w:t>a</w:t>
      </w:r>
      <w:r w:rsidR="00F030F8" w:rsidRPr="001A3923">
        <w:rPr>
          <w:rFonts w:ascii="Palatino Linotype" w:hAnsi="Palatino Linotype" w:cs="Tahoma"/>
        </w:rPr>
        <w:t xml:space="preserve"> efectuar la valoración del daño que causaría la divulgación de la información, </w:t>
      </w:r>
      <w:r w:rsidR="009B6C8D" w:rsidRPr="001A3923">
        <w:rPr>
          <w:rFonts w:ascii="Palatino Linotype" w:hAnsi="Palatino Linotype" w:cs="Tahoma"/>
        </w:rPr>
        <w:t xml:space="preserve">o bien, en caso de que la información sea confidencial, </w:t>
      </w:r>
      <w:r w:rsidR="00A63FE9" w:rsidRPr="001A3923">
        <w:rPr>
          <w:rFonts w:ascii="Palatino Linotype" w:hAnsi="Palatino Linotype" w:cs="Tahoma"/>
        </w:rPr>
        <w:t>la prueba de interés p</w:t>
      </w:r>
      <w:r w:rsidR="00F75629" w:rsidRPr="001A3923">
        <w:rPr>
          <w:rFonts w:ascii="Palatino Linotype" w:hAnsi="Palatino Linotype" w:cs="Tahoma"/>
        </w:rPr>
        <w:t>úblico</w:t>
      </w:r>
      <w:r w:rsidR="009B6C8D" w:rsidRPr="001A3923">
        <w:rPr>
          <w:rFonts w:ascii="Palatino Linotype" w:hAnsi="Palatino Linotype" w:cs="Tahoma"/>
        </w:rPr>
        <w:t>;</w:t>
      </w:r>
      <w:r w:rsidR="00A63FE9" w:rsidRPr="001A3923">
        <w:rPr>
          <w:rFonts w:ascii="Palatino Linotype" w:hAnsi="Palatino Linotype" w:cs="Tahoma"/>
        </w:rPr>
        <w:t xml:space="preserve"> </w:t>
      </w:r>
      <w:r w:rsidR="00F030F8" w:rsidRPr="001A3923">
        <w:rPr>
          <w:rFonts w:ascii="Palatino Linotype" w:hAnsi="Palatino Linotype" w:cs="Tahoma"/>
        </w:rPr>
        <w:t xml:space="preserve">con la finalidad de sustentar la </w:t>
      </w:r>
      <w:r w:rsidR="00A63FE9" w:rsidRPr="001A3923">
        <w:rPr>
          <w:rFonts w:ascii="Palatino Linotype" w:hAnsi="Palatino Linotype" w:cs="Tahoma"/>
        </w:rPr>
        <w:t>clasificación</w:t>
      </w:r>
      <w:r w:rsidR="00F030F8" w:rsidRPr="001A3923">
        <w:rPr>
          <w:rFonts w:ascii="Palatino Linotype" w:hAnsi="Palatino Linotype" w:cs="Tahoma"/>
        </w:rPr>
        <w:t xml:space="preserve"> de la información</w:t>
      </w:r>
      <w:r w:rsidR="009B6C8D" w:rsidRPr="001A3923">
        <w:rPr>
          <w:rFonts w:ascii="Palatino Linotype" w:hAnsi="Palatino Linotype" w:cs="Tahoma"/>
        </w:rPr>
        <w:t>,</w:t>
      </w:r>
      <w:r w:rsidR="00F030F8" w:rsidRPr="001A3923">
        <w:t xml:space="preserve"> </w:t>
      </w:r>
      <w:r w:rsidR="00A63FE9" w:rsidRPr="001A3923">
        <w:rPr>
          <w:rFonts w:ascii="Palatino Linotype" w:hAnsi="Palatino Linotype" w:cs="Tahoma"/>
        </w:rPr>
        <w:t xml:space="preserve">máxime, como acontece en el caso en concreto, </w:t>
      </w:r>
      <w:r w:rsidR="00F030F8" w:rsidRPr="001A3923">
        <w:rPr>
          <w:rFonts w:ascii="Palatino Linotype" w:hAnsi="Palatino Linotype" w:cs="Tahoma"/>
        </w:rPr>
        <w:t>cuando el sujeto obligado omitió precisar los elementos de daño que pudiera causar la difusión de la información</w:t>
      </w:r>
      <w:r w:rsidR="003B068B" w:rsidRPr="001A3923">
        <w:rPr>
          <w:rFonts w:ascii="Palatino Linotype" w:hAnsi="Palatino Linotype" w:cs="Tahoma"/>
        </w:rPr>
        <w:t xml:space="preserve"> o la afectación a los particulares cuando se trata de datos personales</w:t>
      </w:r>
      <w:r w:rsidR="00F030F8" w:rsidRPr="001A3923">
        <w:rPr>
          <w:rFonts w:ascii="Palatino Linotype" w:hAnsi="Palatino Linotype" w:cs="Tahoma"/>
        </w:rPr>
        <w:t>.</w:t>
      </w:r>
    </w:p>
    <w:p w:rsidR="00F030F8" w:rsidRPr="001A3923" w:rsidRDefault="00F030F8" w:rsidP="00A462CB">
      <w:pPr>
        <w:spacing w:after="0" w:line="276" w:lineRule="auto"/>
        <w:jc w:val="both"/>
        <w:rPr>
          <w:rFonts w:ascii="Palatino Linotype" w:hAnsi="Palatino Linotype" w:cs="Tahoma"/>
        </w:rPr>
      </w:pPr>
    </w:p>
    <w:p w:rsidR="00F030F8" w:rsidRPr="001A3923" w:rsidRDefault="00F030F8" w:rsidP="00A462CB">
      <w:pPr>
        <w:spacing w:after="0" w:line="276" w:lineRule="auto"/>
        <w:jc w:val="both"/>
        <w:rPr>
          <w:rFonts w:ascii="Palatino Linotype" w:hAnsi="Palatino Linotype" w:cs="Tahoma"/>
        </w:rPr>
      </w:pPr>
      <w:r w:rsidRPr="001A3923">
        <w:rPr>
          <w:rFonts w:ascii="Palatino Linotype" w:hAnsi="Palatino Linotype" w:cs="Tahoma"/>
        </w:rPr>
        <w:t xml:space="preserve">Asimismo, el Órgano Garante a nivel Nacional </w:t>
      </w:r>
      <w:r w:rsidR="009B6C8D" w:rsidRPr="001A3923">
        <w:rPr>
          <w:rFonts w:ascii="Palatino Linotype" w:hAnsi="Palatino Linotype" w:cs="Tahoma"/>
        </w:rPr>
        <w:t>señala que</w:t>
      </w:r>
      <w:r w:rsidR="003860AB" w:rsidRPr="001A3923">
        <w:rPr>
          <w:rFonts w:ascii="Palatino Linotype" w:hAnsi="Palatino Linotype" w:cs="Tahoma"/>
        </w:rPr>
        <w:t>, para el caso de la información reservada (artículo 140 de la Ley de Transparencia y Acceso a la Información Pública del Estado de México y Municipios)</w:t>
      </w:r>
      <w:r w:rsidR="009B6C8D" w:rsidRPr="001A3923">
        <w:rPr>
          <w:rFonts w:ascii="Palatino Linotype" w:hAnsi="Palatino Linotype" w:cs="Tahoma"/>
        </w:rPr>
        <w:t xml:space="preserve"> este Instituto debe determinar,</w:t>
      </w:r>
      <w:r w:rsidR="00F31A38" w:rsidRPr="001A3923">
        <w:rPr>
          <w:rFonts w:ascii="Palatino Linotype" w:hAnsi="Palatino Linotype" w:cs="Tahoma"/>
        </w:rPr>
        <w:t xml:space="preserve"> en el caso </w:t>
      </w:r>
      <w:r w:rsidR="009B6C8D" w:rsidRPr="001A3923">
        <w:rPr>
          <w:rFonts w:ascii="Palatino Linotype" w:hAnsi="Palatino Linotype" w:cs="Tahoma"/>
        </w:rPr>
        <w:t>que el sujeto obligado lo señale, si el tiempo de reserva de la información es adecuado, o bien fijar un plazo de reserva.</w:t>
      </w:r>
    </w:p>
    <w:p w:rsidR="0056175F" w:rsidRPr="001A3923" w:rsidRDefault="0056175F" w:rsidP="00A462CB">
      <w:pPr>
        <w:spacing w:after="0" w:line="276" w:lineRule="auto"/>
        <w:jc w:val="both"/>
        <w:rPr>
          <w:rFonts w:ascii="Palatino Linotype" w:hAnsi="Palatino Linotype" w:cs="Tahoma"/>
        </w:rPr>
      </w:pPr>
    </w:p>
    <w:p w:rsidR="00F31A38" w:rsidRPr="001A3923" w:rsidRDefault="0056175F" w:rsidP="00A462CB">
      <w:pPr>
        <w:spacing w:after="0" w:line="276" w:lineRule="auto"/>
        <w:jc w:val="both"/>
        <w:rPr>
          <w:rFonts w:ascii="Palatino Linotype" w:hAnsi="Palatino Linotype" w:cs="Tahoma"/>
        </w:rPr>
      </w:pPr>
      <w:r w:rsidRPr="001A3923">
        <w:rPr>
          <w:rFonts w:ascii="Palatino Linotype" w:hAnsi="Palatino Linotype" w:cs="Tahoma"/>
        </w:rPr>
        <w:t xml:space="preserve">Bajo esa lógica, estimo que en el presente caso </w:t>
      </w:r>
      <w:r w:rsidR="00F31A38" w:rsidRPr="001A3923">
        <w:rPr>
          <w:rFonts w:ascii="Palatino Linotype" w:hAnsi="Palatino Linotype" w:cs="Tahoma"/>
        </w:rPr>
        <w:t xml:space="preserve">no sólo se debe ordenar al sujeto obligado a cumplir con el procedimiento de clasificación de la información, sino elaborar un análisis exhaustivo respecto de los datos que se advierten testados, para así determinar si estos tienen el carácter de reservados o confidenciales, demostrar con razones y motivos por qué tienen ese carácter, elaborar la prueba de daño o de interés público, según sea </w:t>
      </w:r>
      <w:r w:rsidR="003860AB" w:rsidRPr="001A3923">
        <w:rPr>
          <w:rFonts w:ascii="Palatino Linotype" w:hAnsi="Palatino Linotype" w:cs="Tahoma"/>
        </w:rPr>
        <w:t>el tipo de información</w:t>
      </w:r>
      <w:r w:rsidR="00F31A38" w:rsidRPr="001A3923">
        <w:rPr>
          <w:rFonts w:ascii="Palatino Linotype" w:hAnsi="Palatino Linotype" w:cs="Tahoma"/>
        </w:rPr>
        <w:t>, y fijar, para el caso de que fuera información reservada, un plazo de tiempo para su clasificación.</w:t>
      </w:r>
    </w:p>
    <w:p w:rsidR="00F31A38" w:rsidRPr="001A3923" w:rsidRDefault="00F31A38" w:rsidP="00A462CB">
      <w:pPr>
        <w:spacing w:after="0" w:line="276" w:lineRule="auto"/>
        <w:jc w:val="both"/>
        <w:rPr>
          <w:rFonts w:ascii="Palatino Linotype" w:hAnsi="Palatino Linotype" w:cs="Tahoma"/>
        </w:rPr>
      </w:pPr>
    </w:p>
    <w:p w:rsidR="0056175F" w:rsidRPr="001A3923" w:rsidRDefault="0056175F" w:rsidP="00A462CB">
      <w:pPr>
        <w:spacing w:after="0" w:line="276" w:lineRule="auto"/>
        <w:jc w:val="both"/>
        <w:rPr>
          <w:rFonts w:ascii="Palatino Linotype" w:hAnsi="Palatino Linotype" w:cs="Tahoma"/>
        </w:rPr>
      </w:pPr>
      <w:r w:rsidRPr="001A3923">
        <w:rPr>
          <w:rFonts w:ascii="Palatino Linotype" w:hAnsi="Palatino Linotype" w:cs="Tahoma"/>
        </w:rPr>
        <w:t xml:space="preserve">Pues solo así, este Instituto como máxima autoridad en materia de derecho de acceso a la información y protección de datos personales, garantiza que los particulares puedan ejercer sus derechos y ser partícipes de la vida democrática de nuestro </w:t>
      </w:r>
      <w:r w:rsidR="003860AB" w:rsidRPr="001A3923">
        <w:rPr>
          <w:rFonts w:ascii="Palatino Linotype" w:hAnsi="Palatino Linotype" w:cs="Tahoma"/>
        </w:rPr>
        <w:t>Estado</w:t>
      </w:r>
      <w:r w:rsidRPr="001A3923">
        <w:rPr>
          <w:rFonts w:ascii="Palatino Linotype" w:hAnsi="Palatino Linotype" w:cs="Tahoma"/>
        </w:rPr>
        <w:t>.</w:t>
      </w:r>
    </w:p>
    <w:p w:rsidR="003C374F" w:rsidRPr="001A3923" w:rsidRDefault="003C374F" w:rsidP="00A462CB">
      <w:pPr>
        <w:spacing w:after="0" w:line="276" w:lineRule="auto"/>
        <w:jc w:val="both"/>
        <w:rPr>
          <w:rFonts w:ascii="Palatino Linotype" w:hAnsi="Palatino Linotype" w:cs="Tahoma"/>
        </w:rPr>
      </w:pPr>
    </w:p>
    <w:p w:rsidR="009B6C8D" w:rsidRPr="001A3923" w:rsidRDefault="009B6C8D" w:rsidP="00A462CB">
      <w:pPr>
        <w:spacing w:after="0" w:line="276" w:lineRule="auto"/>
        <w:jc w:val="both"/>
        <w:rPr>
          <w:rFonts w:ascii="Palatino Linotype" w:hAnsi="Palatino Linotype" w:cs="Tahoma"/>
        </w:rPr>
      </w:pPr>
      <w:r w:rsidRPr="001A3923">
        <w:rPr>
          <w:rFonts w:ascii="Palatino Linotype" w:hAnsi="Palatino Linotype" w:cs="Tahoma"/>
        </w:rPr>
        <w:t>De otro modo, dejar a consideración del sujeto obligado la clasificación de la información puede abrir la puerta a arbitrariedades y abusos de la figura de clasificación de la información</w:t>
      </w:r>
      <w:r w:rsidR="00EF0E95" w:rsidRPr="001A3923">
        <w:rPr>
          <w:rFonts w:ascii="Palatino Linotype" w:hAnsi="Palatino Linotype" w:cs="Tahoma"/>
        </w:rPr>
        <w:t>, además ello va en contra del principio de certeza que rige a este Instituto, de acuerdo al artículo 9°, fracción I, de la Ley de Transparencia y Acceso a la Información Pública del Estado de México y Municipios.</w:t>
      </w:r>
    </w:p>
    <w:p w:rsidR="009B6C8D" w:rsidRDefault="009B6C8D" w:rsidP="00A462CB">
      <w:pPr>
        <w:spacing w:after="0" w:line="276" w:lineRule="auto"/>
        <w:jc w:val="both"/>
        <w:rPr>
          <w:rFonts w:ascii="Palatino Linotype" w:hAnsi="Palatino Linotype" w:cs="Tahoma"/>
        </w:rPr>
      </w:pPr>
    </w:p>
    <w:p w:rsidR="00A907C3" w:rsidRDefault="00A907C3" w:rsidP="00A462CB">
      <w:pPr>
        <w:spacing w:after="0" w:line="276" w:lineRule="auto"/>
        <w:jc w:val="both"/>
        <w:rPr>
          <w:rFonts w:ascii="Palatino Linotype" w:hAnsi="Palatino Linotype" w:cs="Tahoma"/>
        </w:rPr>
      </w:pPr>
    </w:p>
    <w:p w:rsidR="00A907C3" w:rsidRPr="001A3923" w:rsidRDefault="00A907C3" w:rsidP="00A462CB">
      <w:pPr>
        <w:spacing w:after="0" w:line="276" w:lineRule="auto"/>
        <w:jc w:val="both"/>
        <w:rPr>
          <w:rFonts w:ascii="Palatino Linotype" w:hAnsi="Palatino Linotype" w:cs="Tahoma"/>
        </w:rPr>
      </w:pPr>
    </w:p>
    <w:p w:rsidR="0056175F" w:rsidRPr="001A3923" w:rsidRDefault="0056175F" w:rsidP="00A462CB">
      <w:pPr>
        <w:spacing w:after="0" w:line="276" w:lineRule="auto"/>
        <w:jc w:val="both"/>
        <w:rPr>
          <w:rFonts w:ascii="Palatino Linotype" w:hAnsi="Palatino Linotype" w:cs="Tahoma"/>
        </w:rPr>
      </w:pPr>
      <w:r w:rsidRPr="001A3923">
        <w:rPr>
          <w:rFonts w:ascii="Palatino Linotype" w:hAnsi="Palatino Linotype" w:cs="Tahoma"/>
        </w:rPr>
        <w:t>Por tanto, mi postura es a favor de efectuar un análisis exhaustivo en todos aquellos casos que restrinjan el derecho de acceso a la información de los particulares, como es la clasificación de la información</w:t>
      </w:r>
      <w:r w:rsidR="00CE3CDC" w:rsidRPr="001A3923">
        <w:rPr>
          <w:rFonts w:ascii="Palatino Linotype" w:hAnsi="Palatino Linotype" w:cs="Tahoma"/>
        </w:rPr>
        <w:t>,</w:t>
      </w:r>
      <w:r w:rsidR="009B6C8D" w:rsidRPr="001A3923">
        <w:rPr>
          <w:rFonts w:ascii="Palatino Linotype" w:hAnsi="Palatino Linotype" w:cs="Tahoma"/>
        </w:rPr>
        <w:t xml:space="preserve"> para determinar de forma contundente si la restricción al derecho de acceso a la información se apega al marco de la Ley.</w:t>
      </w:r>
    </w:p>
    <w:p w:rsidR="00A96CE5" w:rsidRPr="001A3923" w:rsidRDefault="00A96CE5" w:rsidP="00A462CB">
      <w:pPr>
        <w:spacing w:after="0" w:line="276" w:lineRule="auto"/>
        <w:jc w:val="both"/>
        <w:rPr>
          <w:rFonts w:ascii="Palatino Linotype" w:eastAsia="Arial Unicode MS" w:hAnsi="Palatino Linotype" w:cs="Tahoma"/>
        </w:rPr>
      </w:pPr>
    </w:p>
    <w:p w:rsidR="009E0861" w:rsidRPr="001A3923" w:rsidRDefault="009E0861" w:rsidP="00A462CB">
      <w:pPr>
        <w:spacing w:after="0" w:line="276" w:lineRule="auto"/>
        <w:jc w:val="both"/>
        <w:rPr>
          <w:rFonts w:ascii="Palatino Linotype" w:hAnsi="Palatino Linotype" w:cs="Tahoma"/>
        </w:rPr>
      </w:pPr>
      <w:r w:rsidRPr="001A3923">
        <w:rPr>
          <w:rFonts w:ascii="Palatino Linotype" w:hAnsi="Palatino Linotype" w:cs="Tahoma"/>
        </w:rPr>
        <w:t xml:space="preserve">Así, con base en los razonamientos expuestos, </w:t>
      </w:r>
      <w:r w:rsidRPr="001A3923">
        <w:rPr>
          <w:rFonts w:ascii="Palatino Linotype" w:hAnsi="Palatino Linotype" w:cs="Tahoma"/>
          <w:b/>
        </w:rPr>
        <w:t>se emite el presente Voto Particular</w:t>
      </w:r>
      <w:r w:rsidRPr="001A3923">
        <w:rPr>
          <w:rFonts w:ascii="Palatino Linotype" w:hAnsi="Palatino Linotype" w:cs="Tahoma"/>
        </w:rPr>
        <w:t>.</w:t>
      </w:r>
    </w:p>
    <w:p w:rsidR="00553ADE" w:rsidRPr="001A3923" w:rsidRDefault="00553ADE" w:rsidP="00A462CB">
      <w:pPr>
        <w:spacing w:after="0" w:line="276" w:lineRule="auto"/>
        <w:jc w:val="center"/>
        <w:rPr>
          <w:rFonts w:ascii="Palatino Linotype" w:hAnsi="Palatino Linotype" w:cs="Tahoma"/>
        </w:rPr>
      </w:pPr>
    </w:p>
    <w:p w:rsidR="00553ADE" w:rsidRPr="001A3923" w:rsidRDefault="00A0224B" w:rsidP="00A0224B">
      <w:pPr>
        <w:spacing w:after="0" w:line="276" w:lineRule="auto"/>
        <w:jc w:val="center"/>
        <w:rPr>
          <w:rFonts w:ascii="Palatino Linotype" w:hAnsi="Palatino Linotype" w:cs="Tahoma"/>
          <w:b/>
        </w:rPr>
      </w:pPr>
      <w:r w:rsidRPr="001A3923">
        <w:rPr>
          <w:rFonts w:ascii="Palatino Linotype" w:hAnsi="Palatino Linotype" w:cs="Tahoma"/>
          <w:b/>
        </w:rPr>
        <w:t>(Rúbrica)</w:t>
      </w:r>
    </w:p>
    <w:p w:rsidR="00553ADE" w:rsidRPr="001A3923" w:rsidRDefault="00553ADE" w:rsidP="00A462CB">
      <w:pPr>
        <w:spacing w:after="0" w:line="276" w:lineRule="auto"/>
        <w:jc w:val="center"/>
        <w:rPr>
          <w:rFonts w:ascii="Palatino Linotype" w:hAnsi="Palatino Linotype" w:cs="Tahoma"/>
          <w:b/>
        </w:rPr>
      </w:pPr>
      <w:r w:rsidRPr="001A3923">
        <w:rPr>
          <w:rFonts w:ascii="Palatino Linotype" w:hAnsi="Palatino Linotype" w:cs="Tahoma"/>
          <w:b/>
        </w:rPr>
        <w:t>Luis Gustavo Parra Noriega</w:t>
      </w:r>
    </w:p>
    <w:p w:rsidR="003512C9" w:rsidRPr="001A3923" w:rsidRDefault="00553ADE" w:rsidP="00F44957">
      <w:pPr>
        <w:spacing w:after="0" w:line="276" w:lineRule="auto"/>
        <w:jc w:val="center"/>
        <w:rPr>
          <w:rFonts w:ascii="Palatino Linotype" w:hAnsi="Palatino Linotype" w:cs="Tahoma"/>
        </w:rPr>
      </w:pPr>
      <w:r w:rsidRPr="001A3923">
        <w:rPr>
          <w:rFonts w:ascii="Palatino Linotype" w:hAnsi="Palatino Linotype" w:cs="Tahoma"/>
        </w:rPr>
        <w:t>Comisionado</w:t>
      </w:r>
    </w:p>
    <w:sectPr w:rsidR="003512C9" w:rsidRPr="001A3923" w:rsidSect="00950355">
      <w:headerReference w:type="even" r:id="rId8"/>
      <w:headerReference w:type="default" r:id="rId9"/>
      <w:footerReference w:type="even" r:id="rId10"/>
      <w:footerReference w:type="default" r:id="rId11"/>
      <w:headerReference w:type="first" r:id="rId12"/>
      <w:footerReference w:type="first" r:id="rId13"/>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73EE" w:rsidRDefault="00D573EE" w:rsidP="00EE29F6">
      <w:pPr>
        <w:spacing w:after="0" w:line="240" w:lineRule="auto"/>
      </w:pPr>
      <w:r>
        <w:separator/>
      </w:r>
    </w:p>
  </w:endnote>
  <w:endnote w:type="continuationSeparator" w:id="0">
    <w:p w:rsidR="00D573EE" w:rsidRDefault="00D573EE"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EB7" w:rsidRDefault="00B74EB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rsidR="00363357" w:rsidRDefault="00363357">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B74EB7">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B74EB7">
              <w:rPr>
                <w:b/>
                <w:bCs/>
                <w:noProof/>
              </w:rPr>
              <w:t>3</w:t>
            </w:r>
            <w:r>
              <w:rPr>
                <w:b/>
                <w:bCs/>
                <w:sz w:val="24"/>
                <w:szCs w:val="24"/>
              </w:rPr>
              <w:fldChar w:fldCharType="end"/>
            </w:r>
          </w:p>
        </w:sdtContent>
      </w:sdt>
    </w:sdtContent>
  </w:sdt>
  <w:p w:rsidR="00363357" w:rsidRDefault="0036335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EB7" w:rsidRDefault="00B74EB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73EE" w:rsidRDefault="00D573EE" w:rsidP="00EE29F6">
      <w:pPr>
        <w:spacing w:after="0" w:line="240" w:lineRule="auto"/>
      </w:pPr>
      <w:r>
        <w:separator/>
      </w:r>
    </w:p>
  </w:footnote>
  <w:footnote w:type="continuationSeparator" w:id="0">
    <w:p w:rsidR="00D573EE" w:rsidRDefault="00D573EE"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EB7" w:rsidRDefault="00B74EB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6237"/>
    </w:tblGrid>
    <w:tr w:rsidR="00363357" w:rsidRPr="001106EA" w:rsidTr="00543DF4">
      <w:trPr>
        <w:trHeight w:val="1843"/>
      </w:trPr>
      <w:tc>
        <w:tcPr>
          <w:tcW w:w="2830" w:type="dxa"/>
          <w:vAlign w:val="bottom"/>
        </w:tcPr>
        <w:p w:rsidR="00363357" w:rsidRDefault="00363357" w:rsidP="0077694E">
          <w:pPr>
            <w:pStyle w:val="Encabezado"/>
            <w:tabs>
              <w:tab w:val="clear" w:pos="4252"/>
              <w:tab w:val="center" w:pos="2614"/>
            </w:tabs>
            <w:ind w:left="-255"/>
          </w:pPr>
          <w:r>
            <w:rPr>
              <w:noProof/>
              <w:sz w:val="10"/>
              <w:szCs w:val="10"/>
              <w:lang w:val="es-MX" w:eastAsia="es-MX"/>
            </w:rPr>
            <w:drawing>
              <wp:inline distT="0" distB="0" distL="0" distR="0">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16" cy="1160801"/>
                        </a:xfrm>
                        <a:prstGeom prst="rect">
                          <a:avLst/>
                        </a:prstGeom>
                      </pic:spPr>
                    </pic:pic>
                  </a:graphicData>
                </a:graphic>
              </wp:inline>
            </w:drawing>
          </w:r>
        </w:p>
        <w:p w:rsidR="00363357" w:rsidRDefault="00363357" w:rsidP="0077694E">
          <w:pPr>
            <w:pStyle w:val="Encabezado"/>
            <w:tabs>
              <w:tab w:val="clear" w:pos="4252"/>
              <w:tab w:val="center" w:pos="2614"/>
            </w:tabs>
          </w:pPr>
        </w:p>
      </w:tc>
      <w:tc>
        <w:tcPr>
          <w:tcW w:w="6237" w:type="dxa"/>
          <w:vAlign w:val="center"/>
        </w:tcPr>
        <w:p w:rsidR="00363357" w:rsidRPr="001106EA" w:rsidRDefault="00363357" w:rsidP="001106EA">
          <w:pPr>
            <w:pStyle w:val="Encabezado"/>
            <w:ind w:left="-108" w:right="-250"/>
            <w:jc w:val="both"/>
            <w:rPr>
              <w:rFonts w:ascii="Tahoma" w:hAnsi="Tahoma" w:cs="Tahoma"/>
            </w:rPr>
          </w:pPr>
        </w:p>
        <w:tbl>
          <w:tblPr>
            <w:tblStyle w:val="Tablaconcuadrcula"/>
            <w:tblW w:w="5563"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0" w:type="dxa"/>
              <w:right w:w="70" w:type="dxa"/>
            </w:tblCellMar>
            <w:tblLook w:val="0000" w:firstRow="0" w:lastRow="0" w:firstColumn="0" w:lastColumn="0" w:noHBand="0" w:noVBand="0"/>
          </w:tblPr>
          <w:tblGrid>
            <w:gridCol w:w="2586"/>
            <w:gridCol w:w="2977"/>
          </w:tblGrid>
          <w:tr w:rsidR="005A4884" w:rsidTr="005A4884">
            <w:trPr>
              <w:gridAfter w:val="1"/>
              <w:wAfter w:w="2977" w:type="dxa"/>
              <w:trHeight w:val="463"/>
            </w:trPr>
            <w:tc>
              <w:tcPr>
                <w:tcW w:w="2586" w:type="dxa"/>
              </w:tcPr>
              <w:p w:rsidR="005A4884" w:rsidRDefault="005A4884" w:rsidP="005A4884">
                <w:pPr>
                  <w:pStyle w:val="Encabezado"/>
                  <w:ind w:left="386"/>
                  <w:jc w:val="right"/>
                  <w:rPr>
                    <w:rFonts w:ascii="Palatino Linotype" w:hAnsi="Palatino Linotype" w:cs="Tahoma"/>
                    <w:b/>
                  </w:rPr>
                </w:pPr>
                <w:r w:rsidRPr="00085241">
                  <w:rPr>
                    <w:rFonts w:ascii="Palatino Linotype" w:hAnsi="Palatino Linotype" w:cs="Tahoma"/>
                    <w:b/>
                  </w:rPr>
                  <w:t>Voto Particular</w:t>
                </w:r>
              </w:p>
            </w:tc>
          </w:tr>
          <w:tr w:rsidR="005A4884" w:rsidTr="005A4884">
            <w:tblPrEx>
              <w:tblCellMar>
                <w:left w:w="108" w:type="dxa"/>
                <w:right w:w="108" w:type="dxa"/>
              </w:tblCellMar>
              <w:tblLook w:val="04A0" w:firstRow="1" w:lastRow="0" w:firstColumn="1" w:lastColumn="0" w:noHBand="0" w:noVBand="1"/>
            </w:tblPrEx>
            <w:tc>
              <w:tcPr>
                <w:tcW w:w="2586" w:type="dxa"/>
              </w:tcPr>
              <w:p w:rsidR="005A4884" w:rsidRDefault="005A4884" w:rsidP="005A4884">
                <w:pPr>
                  <w:pStyle w:val="Encabezado"/>
                  <w:jc w:val="right"/>
                  <w:rPr>
                    <w:rFonts w:ascii="Palatino Linotype" w:hAnsi="Palatino Linotype" w:cs="Tahoma"/>
                    <w:b/>
                  </w:rPr>
                </w:pPr>
                <w:r w:rsidRPr="00085241">
                  <w:rPr>
                    <w:rFonts w:ascii="Palatino Linotype" w:hAnsi="Palatino Linotype" w:cs="Tahoma"/>
                    <w:b/>
                  </w:rPr>
                  <w:t>Recurso de Revisión:</w:t>
                </w:r>
              </w:p>
            </w:tc>
            <w:tc>
              <w:tcPr>
                <w:tcW w:w="2977" w:type="dxa"/>
              </w:tcPr>
              <w:p w:rsidR="005A4884" w:rsidRDefault="005A4884" w:rsidP="005B12CF">
                <w:pPr>
                  <w:pStyle w:val="Encabezado"/>
                  <w:jc w:val="both"/>
                  <w:rPr>
                    <w:rFonts w:ascii="Palatino Linotype" w:hAnsi="Palatino Linotype" w:cs="Tahoma"/>
                    <w:b/>
                  </w:rPr>
                </w:pPr>
                <w:r>
                  <w:rPr>
                    <w:rFonts w:ascii="Palatino Linotype" w:hAnsi="Palatino Linotype" w:cs="Tahoma"/>
                    <w:b/>
                  </w:rPr>
                  <w:t>0</w:t>
                </w:r>
                <w:r w:rsidR="00F31A38">
                  <w:rPr>
                    <w:rFonts w:ascii="Palatino Linotype" w:hAnsi="Palatino Linotype" w:cs="Tahoma"/>
                    <w:b/>
                  </w:rPr>
                  <w:t>3</w:t>
                </w:r>
                <w:r w:rsidR="005B12CF">
                  <w:rPr>
                    <w:rFonts w:ascii="Palatino Linotype" w:hAnsi="Palatino Linotype" w:cs="Tahoma"/>
                    <w:b/>
                  </w:rPr>
                  <w:t>062</w:t>
                </w:r>
                <w:r w:rsidRPr="00085241">
                  <w:rPr>
                    <w:rFonts w:ascii="Palatino Linotype" w:hAnsi="Palatino Linotype" w:cs="Tahoma"/>
                    <w:b/>
                  </w:rPr>
                  <w:t>/INFOEM/IP/RR/2018</w:t>
                </w:r>
                <w:r w:rsidR="00E004A3">
                  <w:rPr>
                    <w:rFonts w:ascii="Palatino Linotype" w:hAnsi="Palatino Linotype" w:cs="Tahoma"/>
                    <w:b/>
                  </w:rPr>
                  <w:t xml:space="preserve"> Y ACUMULADOS</w:t>
                </w:r>
              </w:p>
            </w:tc>
          </w:tr>
          <w:tr w:rsidR="005A4884" w:rsidTr="005A4884">
            <w:tblPrEx>
              <w:tblCellMar>
                <w:left w:w="108" w:type="dxa"/>
                <w:right w:w="108" w:type="dxa"/>
              </w:tblCellMar>
              <w:tblLook w:val="04A0" w:firstRow="1" w:lastRow="0" w:firstColumn="1" w:lastColumn="0" w:noHBand="0" w:noVBand="1"/>
            </w:tblPrEx>
            <w:tc>
              <w:tcPr>
                <w:tcW w:w="2586" w:type="dxa"/>
              </w:tcPr>
              <w:p w:rsidR="005A4884" w:rsidRDefault="005A4884" w:rsidP="005A4884">
                <w:pPr>
                  <w:pStyle w:val="Encabezado"/>
                  <w:jc w:val="right"/>
                  <w:rPr>
                    <w:rFonts w:ascii="Palatino Linotype" w:hAnsi="Palatino Linotype" w:cs="Tahoma"/>
                    <w:b/>
                  </w:rPr>
                </w:pPr>
                <w:r w:rsidRPr="00085241">
                  <w:rPr>
                    <w:rFonts w:ascii="Palatino Linotype" w:hAnsi="Palatino Linotype" w:cs="Tahoma"/>
                    <w:b/>
                  </w:rPr>
                  <w:t>Sujeto Obligado:</w:t>
                </w:r>
              </w:p>
            </w:tc>
            <w:tc>
              <w:tcPr>
                <w:tcW w:w="2977" w:type="dxa"/>
              </w:tcPr>
              <w:p w:rsidR="005A4884" w:rsidRDefault="005B12CF" w:rsidP="005A4884">
                <w:pPr>
                  <w:pStyle w:val="Encabezado"/>
                  <w:jc w:val="both"/>
                  <w:rPr>
                    <w:rFonts w:ascii="Palatino Linotype" w:hAnsi="Palatino Linotype" w:cs="Tahoma"/>
                    <w:b/>
                  </w:rPr>
                </w:pPr>
                <w:r>
                  <w:rPr>
                    <w:rFonts w:ascii="Palatino Linotype" w:hAnsi="Palatino Linotype" w:cs="Tahoma"/>
                    <w:b/>
                  </w:rPr>
                  <w:t>Poder Legislativo</w:t>
                </w:r>
              </w:p>
            </w:tc>
          </w:tr>
          <w:tr w:rsidR="005A4884" w:rsidTr="005A4884">
            <w:tblPrEx>
              <w:tblCellMar>
                <w:left w:w="108" w:type="dxa"/>
                <w:right w:w="108" w:type="dxa"/>
              </w:tblCellMar>
              <w:tblLook w:val="04A0" w:firstRow="1" w:lastRow="0" w:firstColumn="1" w:lastColumn="0" w:noHBand="0" w:noVBand="1"/>
            </w:tblPrEx>
            <w:tc>
              <w:tcPr>
                <w:tcW w:w="2586" w:type="dxa"/>
              </w:tcPr>
              <w:p w:rsidR="005A4884" w:rsidRDefault="005A4884" w:rsidP="005A4884">
                <w:pPr>
                  <w:pStyle w:val="Encabezado"/>
                  <w:jc w:val="right"/>
                  <w:rPr>
                    <w:rFonts w:ascii="Palatino Linotype" w:hAnsi="Palatino Linotype" w:cs="Tahoma"/>
                    <w:b/>
                  </w:rPr>
                </w:pPr>
                <w:r w:rsidRPr="00085241">
                  <w:rPr>
                    <w:rFonts w:ascii="Palatino Linotype" w:hAnsi="Palatino Linotype" w:cs="Tahoma"/>
                    <w:b/>
                  </w:rPr>
                  <w:t>Comisionada Ponente:</w:t>
                </w:r>
              </w:p>
            </w:tc>
            <w:tc>
              <w:tcPr>
                <w:tcW w:w="2977" w:type="dxa"/>
              </w:tcPr>
              <w:p w:rsidR="005A4884" w:rsidRDefault="00B74EB7" w:rsidP="005A4884">
                <w:pPr>
                  <w:pStyle w:val="Encabezado"/>
                  <w:jc w:val="both"/>
                  <w:rPr>
                    <w:rFonts w:ascii="Palatino Linotype" w:hAnsi="Palatino Linotype" w:cs="Tahoma"/>
                    <w:b/>
                  </w:rPr>
                </w:pPr>
                <w:r>
                  <w:rPr>
                    <w:rFonts w:ascii="Palatino Linotype" w:hAnsi="Palatino Linotype" w:cs="Tahoma"/>
                    <w:b/>
                  </w:rPr>
                  <w:t>Eva A</w:t>
                </w:r>
                <w:bookmarkStart w:id="0" w:name="_GoBack"/>
                <w:bookmarkEnd w:id="0"/>
                <w:r>
                  <w:rPr>
                    <w:rFonts w:ascii="Palatino Linotype" w:hAnsi="Palatino Linotype" w:cs="Tahoma"/>
                    <w:b/>
                  </w:rPr>
                  <w:t>baid Yapur</w:t>
                </w:r>
              </w:p>
            </w:tc>
          </w:tr>
        </w:tbl>
        <w:p w:rsidR="00363357" w:rsidRPr="001106EA" w:rsidRDefault="00363357" w:rsidP="005A4884">
          <w:pPr>
            <w:pStyle w:val="Encabezado"/>
            <w:ind w:left="850"/>
            <w:jc w:val="both"/>
            <w:rPr>
              <w:rFonts w:ascii="Tahoma" w:hAnsi="Tahoma" w:cs="Tahoma"/>
            </w:rPr>
          </w:pPr>
        </w:p>
      </w:tc>
    </w:tr>
  </w:tbl>
  <w:p w:rsidR="00363357" w:rsidRPr="001106EA" w:rsidRDefault="00363357">
    <w:pPr>
      <w:pStyle w:val="Encabezado"/>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EB7" w:rsidRDefault="00B74EB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8B76DE"/>
    <w:multiLevelType w:val="hybridMultilevel"/>
    <w:tmpl w:val="67F0C59E"/>
    <w:lvl w:ilvl="0" w:tplc="D5A2347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60D20E6"/>
    <w:multiLevelType w:val="hybridMultilevel"/>
    <w:tmpl w:val="C38A3C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C8135DD"/>
    <w:multiLevelType w:val="hybridMultilevel"/>
    <w:tmpl w:val="5CBE3C10"/>
    <w:lvl w:ilvl="0" w:tplc="B28052C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4"/>
  </w:num>
  <w:num w:numId="4">
    <w:abstractNumId w:val="0"/>
  </w:num>
  <w:num w:numId="5">
    <w:abstractNumId w:val="11"/>
  </w:num>
  <w:num w:numId="6">
    <w:abstractNumId w:val="3"/>
  </w:num>
  <w:num w:numId="7">
    <w:abstractNumId w:val="8"/>
  </w:num>
  <w:num w:numId="8">
    <w:abstractNumId w:val="15"/>
  </w:num>
  <w:num w:numId="9">
    <w:abstractNumId w:val="12"/>
  </w:num>
  <w:num w:numId="10">
    <w:abstractNumId w:val="13"/>
  </w:num>
  <w:num w:numId="11">
    <w:abstractNumId w:val="14"/>
  </w:num>
  <w:num w:numId="12">
    <w:abstractNumId w:val="1"/>
  </w:num>
  <w:num w:numId="13">
    <w:abstractNumId w:val="7"/>
  </w:num>
  <w:num w:numId="14">
    <w:abstractNumId w:val="16"/>
  </w:num>
  <w:num w:numId="15">
    <w:abstractNumId w:val="5"/>
  </w:num>
  <w:num w:numId="16">
    <w:abstractNumId w:val="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4F11"/>
    <w:rsid w:val="00006F73"/>
    <w:rsid w:val="0001600D"/>
    <w:rsid w:val="00020D08"/>
    <w:rsid w:val="00023B3D"/>
    <w:rsid w:val="0002483E"/>
    <w:rsid w:val="0002627D"/>
    <w:rsid w:val="0002759D"/>
    <w:rsid w:val="000301C6"/>
    <w:rsid w:val="000466A3"/>
    <w:rsid w:val="00056BD3"/>
    <w:rsid w:val="00060F74"/>
    <w:rsid w:val="0006561A"/>
    <w:rsid w:val="00085241"/>
    <w:rsid w:val="0008691F"/>
    <w:rsid w:val="00087AC8"/>
    <w:rsid w:val="0009277A"/>
    <w:rsid w:val="00097988"/>
    <w:rsid w:val="00097A79"/>
    <w:rsid w:val="000B235B"/>
    <w:rsid w:val="000B7F6F"/>
    <w:rsid w:val="000C10B7"/>
    <w:rsid w:val="000C6052"/>
    <w:rsid w:val="000D186F"/>
    <w:rsid w:val="000F1CD2"/>
    <w:rsid w:val="00104333"/>
    <w:rsid w:val="00105F45"/>
    <w:rsid w:val="0010688C"/>
    <w:rsid w:val="001106EA"/>
    <w:rsid w:val="001159DC"/>
    <w:rsid w:val="00116E1A"/>
    <w:rsid w:val="00136AD8"/>
    <w:rsid w:val="0014038B"/>
    <w:rsid w:val="00140A57"/>
    <w:rsid w:val="0014736A"/>
    <w:rsid w:val="00161815"/>
    <w:rsid w:val="00162325"/>
    <w:rsid w:val="00164625"/>
    <w:rsid w:val="00164BFE"/>
    <w:rsid w:val="00180EB5"/>
    <w:rsid w:val="0018472D"/>
    <w:rsid w:val="00193AA8"/>
    <w:rsid w:val="00197A72"/>
    <w:rsid w:val="001A145C"/>
    <w:rsid w:val="001A3923"/>
    <w:rsid w:val="001A6BD9"/>
    <w:rsid w:val="001C1C64"/>
    <w:rsid w:val="001C363A"/>
    <w:rsid w:val="0020052A"/>
    <w:rsid w:val="00231B68"/>
    <w:rsid w:val="00243A13"/>
    <w:rsid w:val="00246FAF"/>
    <w:rsid w:val="00273B3C"/>
    <w:rsid w:val="0028037C"/>
    <w:rsid w:val="002816CB"/>
    <w:rsid w:val="00295BA5"/>
    <w:rsid w:val="002A138B"/>
    <w:rsid w:val="002A1727"/>
    <w:rsid w:val="002A2EE7"/>
    <w:rsid w:val="002B0E4A"/>
    <w:rsid w:val="002B2877"/>
    <w:rsid w:val="002C2405"/>
    <w:rsid w:val="002C7EBD"/>
    <w:rsid w:val="002E4A9A"/>
    <w:rsid w:val="002E5A1A"/>
    <w:rsid w:val="00333B7A"/>
    <w:rsid w:val="00344DD1"/>
    <w:rsid w:val="003512C9"/>
    <w:rsid w:val="00363357"/>
    <w:rsid w:val="003860AB"/>
    <w:rsid w:val="00390188"/>
    <w:rsid w:val="003973A2"/>
    <w:rsid w:val="003A6218"/>
    <w:rsid w:val="003B068B"/>
    <w:rsid w:val="003B2DAA"/>
    <w:rsid w:val="003B5F3A"/>
    <w:rsid w:val="003B6547"/>
    <w:rsid w:val="003B7A5E"/>
    <w:rsid w:val="003C080D"/>
    <w:rsid w:val="003C0E25"/>
    <w:rsid w:val="003C374F"/>
    <w:rsid w:val="003F2426"/>
    <w:rsid w:val="003F48C2"/>
    <w:rsid w:val="003F7CBE"/>
    <w:rsid w:val="0040139C"/>
    <w:rsid w:val="00412CB2"/>
    <w:rsid w:val="004211BB"/>
    <w:rsid w:val="00433746"/>
    <w:rsid w:val="00434B91"/>
    <w:rsid w:val="00434C88"/>
    <w:rsid w:val="00435E69"/>
    <w:rsid w:val="0044391A"/>
    <w:rsid w:val="00445038"/>
    <w:rsid w:val="004452E2"/>
    <w:rsid w:val="00445BDF"/>
    <w:rsid w:val="00447F6F"/>
    <w:rsid w:val="00450B68"/>
    <w:rsid w:val="0045695E"/>
    <w:rsid w:val="00467ACB"/>
    <w:rsid w:val="00485822"/>
    <w:rsid w:val="00490F50"/>
    <w:rsid w:val="004A4555"/>
    <w:rsid w:val="004A555E"/>
    <w:rsid w:val="004B08C4"/>
    <w:rsid w:val="004B541F"/>
    <w:rsid w:val="004B674B"/>
    <w:rsid w:val="004C4912"/>
    <w:rsid w:val="004C6E57"/>
    <w:rsid w:val="004E4CA3"/>
    <w:rsid w:val="004E7007"/>
    <w:rsid w:val="004F0B86"/>
    <w:rsid w:val="00511E06"/>
    <w:rsid w:val="0052260F"/>
    <w:rsid w:val="00524DA5"/>
    <w:rsid w:val="00526DBD"/>
    <w:rsid w:val="00533EA5"/>
    <w:rsid w:val="00543DF4"/>
    <w:rsid w:val="00544812"/>
    <w:rsid w:val="00550AA5"/>
    <w:rsid w:val="00553ADE"/>
    <w:rsid w:val="0056120D"/>
    <w:rsid w:val="0056175F"/>
    <w:rsid w:val="00582CCB"/>
    <w:rsid w:val="00584D73"/>
    <w:rsid w:val="0059329D"/>
    <w:rsid w:val="005A2510"/>
    <w:rsid w:val="005A4884"/>
    <w:rsid w:val="005B12CF"/>
    <w:rsid w:val="005C094E"/>
    <w:rsid w:val="005C73EE"/>
    <w:rsid w:val="005D11C8"/>
    <w:rsid w:val="005E2798"/>
    <w:rsid w:val="00600164"/>
    <w:rsid w:val="00600323"/>
    <w:rsid w:val="00605683"/>
    <w:rsid w:val="006248F2"/>
    <w:rsid w:val="00624DE5"/>
    <w:rsid w:val="00627F2B"/>
    <w:rsid w:val="00645087"/>
    <w:rsid w:val="00651B2B"/>
    <w:rsid w:val="00654ACD"/>
    <w:rsid w:val="00657396"/>
    <w:rsid w:val="00682003"/>
    <w:rsid w:val="00684B16"/>
    <w:rsid w:val="006B16FE"/>
    <w:rsid w:val="006B6D1A"/>
    <w:rsid w:val="006F5316"/>
    <w:rsid w:val="007071CF"/>
    <w:rsid w:val="00722FE9"/>
    <w:rsid w:val="00724F08"/>
    <w:rsid w:val="007378E2"/>
    <w:rsid w:val="00742A15"/>
    <w:rsid w:val="00751010"/>
    <w:rsid w:val="0077694E"/>
    <w:rsid w:val="00781082"/>
    <w:rsid w:val="007849A1"/>
    <w:rsid w:val="00792848"/>
    <w:rsid w:val="007A1071"/>
    <w:rsid w:val="007A2D13"/>
    <w:rsid w:val="007B27AD"/>
    <w:rsid w:val="007D3257"/>
    <w:rsid w:val="007D5554"/>
    <w:rsid w:val="007E3F77"/>
    <w:rsid w:val="007F1C1D"/>
    <w:rsid w:val="007F41BF"/>
    <w:rsid w:val="007F7D80"/>
    <w:rsid w:val="00802879"/>
    <w:rsid w:val="00836BC2"/>
    <w:rsid w:val="00861757"/>
    <w:rsid w:val="008629DC"/>
    <w:rsid w:val="00874170"/>
    <w:rsid w:val="00884A10"/>
    <w:rsid w:val="00891412"/>
    <w:rsid w:val="008933AC"/>
    <w:rsid w:val="0089469D"/>
    <w:rsid w:val="008A0447"/>
    <w:rsid w:val="008A1DE1"/>
    <w:rsid w:val="008A3DA9"/>
    <w:rsid w:val="008B08C9"/>
    <w:rsid w:val="008E54E2"/>
    <w:rsid w:val="009039FE"/>
    <w:rsid w:val="00922B2E"/>
    <w:rsid w:val="00924A73"/>
    <w:rsid w:val="00926581"/>
    <w:rsid w:val="00927138"/>
    <w:rsid w:val="00927BD1"/>
    <w:rsid w:val="00941847"/>
    <w:rsid w:val="00950355"/>
    <w:rsid w:val="0095470A"/>
    <w:rsid w:val="00954BF1"/>
    <w:rsid w:val="00962B86"/>
    <w:rsid w:val="00965DE9"/>
    <w:rsid w:val="00974836"/>
    <w:rsid w:val="0099308A"/>
    <w:rsid w:val="00993790"/>
    <w:rsid w:val="009943E1"/>
    <w:rsid w:val="009B22ED"/>
    <w:rsid w:val="009B2C0B"/>
    <w:rsid w:val="009B6C8D"/>
    <w:rsid w:val="009C0313"/>
    <w:rsid w:val="009D07E2"/>
    <w:rsid w:val="009D49BE"/>
    <w:rsid w:val="009E0861"/>
    <w:rsid w:val="009E41F7"/>
    <w:rsid w:val="009E42B2"/>
    <w:rsid w:val="00A0224B"/>
    <w:rsid w:val="00A13E40"/>
    <w:rsid w:val="00A14343"/>
    <w:rsid w:val="00A22273"/>
    <w:rsid w:val="00A30C52"/>
    <w:rsid w:val="00A364BA"/>
    <w:rsid w:val="00A429E6"/>
    <w:rsid w:val="00A462CB"/>
    <w:rsid w:val="00A5061A"/>
    <w:rsid w:val="00A54E21"/>
    <w:rsid w:val="00A56DE1"/>
    <w:rsid w:val="00A63FE9"/>
    <w:rsid w:val="00A67498"/>
    <w:rsid w:val="00A67A9F"/>
    <w:rsid w:val="00A742D1"/>
    <w:rsid w:val="00A87924"/>
    <w:rsid w:val="00A907C3"/>
    <w:rsid w:val="00A96933"/>
    <w:rsid w:val="00A96CE5"/>
    <w:rsid w:val="00AA090B"/>
    <w:rsid w:val="00AA261E"/>
    <w:rsid w:val="00AA38A5"/>
    <w:rsid w:val="00AC333A"/>
    <w:rsid w:val="00AD25D5"/>
    <w:rsid w:val="00AF3B6B"/>
    <w:rsid w:val="00B15570"/>
    <w:rsid w:val="00B2355E"/>
    <w:rsid w:val="00B263C5"/>
    <w:rsid w:val="00B27BBC"/>
    <w:rsid w:val="00B30925"/>
    <w:rsid w:val="00B67355"/>
    <w:rsid w:val="00B71740"/>
    <w:rsid w:val="00B73847"/>
    <w:rsid w:val="00B7393F"/>
    <w:rsid w:val="00B74EB7"/>
    <w:rsid w:val="00B761B1"/>
    <w:rsid w:val="00B80C28"/>
    <w:rsid w:val="00BB6EE3"/>
    <w:rsid w:val="00BC4882"/>
    <w:rsid w:val="00BC55D2"/>
    <w:rsid w:val="00BD06FC"/>
    <w:rsid w:val="00BD4705"/>
    <w:rsid w:val="00BD5DBE"/>
    <w:rsid w:val="00BE678B"/>
    <w:rsid w:val="00BF1AC9"/>
    <w:rsid w:val="00C0033F"/>
    <w:rsid w:val="00C0131C"/>
    <w:rsid w:val="00C153EC"/>
    <w:rsid w:val="00C30FD6"/>
    <w:rsid w:val="00C31FEE"/>
    <w:rsid w:val="00C55FFC"/>
    <w:rsid w:val="00C75CE0"/>
    <w:rsid w:val="00C920D4"/>
    <w:rsid w:val="00CA7627"/>
    <w:rsid w:val="00CC68E1"/>
    <w:rsid w:val="00CD4339"/>
    <w:rsid w:val="00CD6D0D"/>
    <w:rsid w:val="00CD7611"/>
    <w:rsid w:val="00CE3CDC"/>
    <w:rsid w:val="00CE46B3"/>
    <w:rsid w:val="00CE50F9"/>
    <w:rsid w:val="00CF11EE"/>
    <w:rsid w:val="00CF1B14"/>
    <w:rsid w:val="00CF432B"/>
    <w:rsid w:val="00D05740"/>
    <w:rsid w:val="00D11C52"/>
    <w:rsid w:val="00D13875"/>
    <w:rsid w:val="00D15D07"/>
    <w:rsid w:val="00D160F2"/>
    <w:rsid w:val="00D342D7"/>
    <w:rsid w:val="00D357E1"/>
    <w:rsid w:val="00D37CDC"/>
    <w:rsid w:val="00D45BDF"/>
    <w:rsid w:val="00D51426"/>
    <w:rsid w:val="00D51C81"/>
    <w:rsid w:val="00D55429"/>
    <w:rsid w:val="00D573EE"/>
    <w:rsid w:val="00D6548F"/>
    <w:rsid w:val="00D65D0C"/>
    <w:rsid w:val="00D666D4"/>
    <w:rsid w:val="00D7239D"/>
    <w:rsid w:val="00D75FAE"/>
    <w:rsid w:val="00D76EA4"/>
    <w:rsid w:val="00D77F63"/>
    <w:rsid w:val="00D81CB3"/>
    <w:rsid w:val="00D9114A"/>
    <w:rsid w:val="00D932AD"/>
    <w:rsid w:val="00DA11C0"/>
    <w:rsid w:val="00DE4452"/>
    <w:rsid w:val="00DF2784"/>
    <w:rsid w:val="00DF6CA0"/>
    <w:rsid w:val="00E004A3"/>
    <w:rsid w:val="00E0104F"/>
    <w:rsid w:val="00E145E1"/>
    <w:rsid w:val="00E26123"/>
    <w:rsid w:val="00E34559"/>
    <w:rsid w:val="00E41481"/>
    <w:rsid w:val="00E416F8"/>
    <w:rsid w:val="00E656C1"/>
    <w:rsid w:val="00E70B5D"/>
    <w:rsid w:val="00E750E2"/>
    <w:rsid w:val="00E80E84"/>
    <w:rsid w:val="00E82F77"/>
    <w:rsid w:val="00E83683"/>
    <w:rsid w:val="00E87388"/>
    <w:rsid w:val="00E910F8"/>
    <w:rsid w:val="00EA7E26"/>
    <w:rsid w:val="00EB57F2"/>
    <w:rsid w:val="00EB7128"/>
    <w:rsid w:val="00EE29F6"/>
    <w:rsid w:val="00EE3972"/>
    <w:rsid w:val="00EF0E95"/>
    <w:rsid w:val="00F030F8"/>
    <w:rsid w:val="00F05A41"/>
    <w:rsid w:val="00F14384"/>
    <w:rsid w:val="00F31A38"/>
    <w:rsid w:val="00F44957"/>
    <w:rsid w:val="00F72D12"/>
    <w:rsid w:val="00F75629"/>
    <w:rsid w:val="00FB3044"/>
    <w:rsid w:val="00FB59D6"/>
    <w:rsid w:val="00FC1D9D"/>
    <w:rsid w:val="00FD1849"/>
    <w:rsid w:val="00FD3150"/>
    <w:rsid w:val="00FD530D"/>
    <w:rsid w:val="00FE4A90"/>
    <w:rsid w:val="00FF22F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7A7E73E-C5B1-46B9-8381-700F8B75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0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basedOn w:val="Normal"/>
    <w:link w:val="TextonotapieCar"/>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basedOn w:val="Fuentedeprrafopredeter"/>
    <w:qFormat/>
    <w:rsid w:val="008933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29726-C5B6-4E40-B6A8-C3BB035D8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746</Words>
  <Characters>4107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4</cp:revision>
  <cp:lastPrinted>2018-10-01T19:36:00Z</cp:lastPrinted>
  <dcterms:created xsi:type="dcterms:W3CDTF">2018-11-06T21:00:00Z</dcterms:created>
  <dcterms:modified xsi:type="dcterms:W3CDTF">2018-11-07T01:15:00Z</dcterms:modified>
</cp:coreProperties>
</file>